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0" w:rsidRDefault="00664D80" w:rsidP="00664D8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Ropczyce, 13.07.2015</w:t>
      </w:r>
    </w:p>
    <w:p w:rsidR="00664D80" w:rsidRDefault="00664D80" w:rsidP="00664D80">
      <w:pPr>
        <w:rPr>
          <w:rFonts w:ascii="Calibri" w:hAnsi="Calibri" w:cs="Arial"/>
          <w:sz w:val="20"/>
          <w:szCs w:val="20"/>
        </w:rPr>
      </w:pPr>
    </w:p>
    <w:p w:rsidR="00664D80" w:rsidRDefault="00664D80" w:rsidP="00664D80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Temat:</w:t>
      </w:r>
    </w:p>
    <w:p w:rsidR="00664D80" w:rsidRPr="00E62F12" w:rsidRDefault="00664D80" w:rsidP="00664D80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Postanowienie o umorzeniu </w:t>
      </w:r>
      <w:r w:rsidRPr="00E62F12">
        <w:rPr>
          <w:rFonts w:asciiTheme="minorHAnsi" w:hAnsiTheme="minorHAnsi"/>
          <w:sz w:val="20"/>
          <w:szCs w:val="20"/>
        </w:rPr>
        <w:t>śledztwa</w:t>
      </w:r>
    </w:p>
    <w:p w:rsidR="00664D80" w:rsidRDefault="00664D80" w:rsidP="00664D80">
      <w:pPr>
        <w:pStyle w:val="Nagwek1"/>
        <w:jc w:val="both"/>
        <w:rPr>
          <w:rFonts w:ascii="Calibri" w:hAnsi="Calibri" w:cs="Arial"/>
          <w:sz w:val="20"/>
          <w:szCs w:val="20"/>
        </w:rPr>
      </w:pPr>
    </w:p>
    <w:p w:rsidR="00664D80" w:rsidRDefault="00664D80" w:rsidP="00664D80">
      <w:pPr>
        <w:pStyle w:val="Nagwek1"/>
        <w:rPr>
          <w:rFonts w:ascii="Calibri" w:hAnsi="Calibri" w:cs="Arial"/>
          <w:b/>
          <w:bCs/>
          <w:sz w:val="20"/>
          <w:szCs w:val="20"/>
        </w:rPr>
      </w:pPr>
    </w:p>
    <w:p w:rsidR="00664D80" w:rsidRDefault="00664D80" w:rsidP="00664D80">
      <w:pPr>
        <w:pStyle w:val="Nagwek1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Raport bieżący nr 23/2015    </w:t>
      </w:r>
    </w:p>
    <w:p w:rsidR="00664D80" w:rsidRDefault="00664D80" w:rsidP="00664D80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:rsidR="00664D80" w:rsidRDefault="00664D80" w:rsidP="00664D80">
      <w:pPr>
        <w:pStyle w:val="Tekstpodstawowy"/>
        <w:jc w:val="both"/>
        <w:rPr>
          <w:rFonts w:ascii="Calibri" w:hAnsi="Calibri"/>
          <w:szCs w:val="20"/>
        </w:rPr>
      </w:pPr>
    </w:p>
    <w:p w:rsidR="00664D80" w:rsidRDefault="00664D80" w:rsidP="00664D80">
      <w:pPr>
        <w:pStyle w:val="Tekstpodstawowy"/>
        <w:jc w:val="both"/>
        <w:rPr>
          <w:rStyle w:val="dane"/>
        </w:rPr>
      </w:pP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W nawiązaniu do raportu bieżącego nr 3/2015 z dnia 27 stycznia 2015 r. </w:t>
      </w:r>
      <w:r w:rsidRPr="00E62F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Zakłady Magnezytowe "ROPCZYCE" S.A. (Emitent, Spółka)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 informują, iż w dniu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13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lipca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2015</w:t>
      </w:r>
      <w:r w:rsidR="00425F66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r. otrzymały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postanowienie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Prokuratury Apelacyjnej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br/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w Rzeszowie o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umorzeniu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śledztwa o niżej przedstawionej treści.</w:t>
      </w:r>
    </w:p>
    <w:p w:rsidR="00664D80" w:rsidRPr="00E62F12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„Prokurator Prokuratury Okręgowej w Rzeszowie del. do Prokuratury Apelacyjnej w Rzeszowie po zapoznaniu się z materiałami śledztwa sygn. Akt </w:t>
      </w:r>
      <w:proofErr w:type="spellStart"/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Ap</w:t>
      </w:r>
      <w:proofErr w:type="spellEnd"/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V Ds. 1/15 w sprawie z zawiadomienia Dyrektora Urzędu Kontroli Skarbowej w Rzeszowie o czyn z art. 296 § 1 i 3 k.k. na podstawie art. 17§ 1 pkt. 2 k.p.k. postanowił:</w:t>
      </w: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- umorzyć śledztwo w sprawie nadużycia w latach 2006 – 2008 udzielonych uprawnień przez członków Zarządu Zakładów Magnezytowych Ropczyce S.A. w Ropczycach obowiązanych do zajmowania się sprawami majątkowym i działalnością gospodarczą wyżej wymienionej spółki poprzez podjęcie decyzji w procesie wnoszenia wkładów na pokrycie udziałów w spółce XR Ropczyce Co. Ltd. Chiny utworzonej w Chinach oraz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w procesie zbycia tych udziałów oraz wyrządzenia szkody w wielkich rozmiarach w kwocie co najmniej 2.000.000 USD, tj. o czyn z art. 296 § 3 k.k.</w:t>
      </w: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- wobec braku ustawowych znamion czynu zabronionego.”</w:t>
      </w: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Spółka od początku stała na stanowisku, że doniesienie jest bezpodstawne i rozważa</w:t>
      </w:r>
      <w:r w:rsidR="00B22271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obecnie możliwość wystąpienia </w:t>
      </w: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z roszczeniami odszkodowawczymi.</w:t>
      </w:r>
    </w:p>
    <w:p w:rsidR="00664D80" w:rsidRDefault="00664D80" w:rsidP="00664D80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</w:t>
      </w:r>
    </w:p>
    <w:p w:rsidR="00664D80" w:rsidRDefault="00664D80" w:rsidP="00664D80">
      <w:pPr>
        <w:pStyle w:val="Tekstpodstawowy3"/>
        <w:rPr>
          <w:rFonts w:ascii="Calibri" w:hAnsi="Calibri" w:cs="Arial"/>
          <w:sz w:val="20"/>
          <w:szCs w:val="20"/>
        </w:rPr>
      </w:pPr>
    </w:p>
    <w:p w:rsidR="00664D80" w:rsidRDefault="00664D80" w:rsidP="00664D80">
      <w:pPr>
        <w:pStyle w:val="Tekstpodstawowy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Podstawa prawna:</w:t>
      </w:r>
    </w:p>
    <w:p w:rsidR="00664D80" w:rsidRPr="00E62F12" w:rsidRDefault="00664D80" w:rsidP="00664D80">
      <w:pPr>
        <w:rPr>
          <w:rFonts w:asciiTheme="minorHAnsi" w:hAnsiTheme="minorHAnsi"/>
          <w:sz w:val="20"/>
          <w:szCs w:val="20"/>
        </w:rPr>
      </w:pPr>
      <w:r w:rsidRPr="00E62F12">
        <w:rPr>
          <w:rFonts w:asciiTheme="minorHAnsi" w:hAnsiTheme="minorHAnsi"/>
          <w:sz w:val="20"/>
          <w:szCs w:val="20"/>
        </w:rPr>
        <w:t xml:space="preserve">art. 56 ust. 1 </w:t>
      </w:r>
      <w:proofErr w:type="spellStart"/>
      <w:r w:rsidRPr="00E62F12">
        <w:rPr>
          <w:rFonts w:asciiTheme="minorHAnsi" w:hAnsiTheme="minorHAnsi"/>
          <w:sz w:val="20"/>
          <w:szCs w:val="20"/>
        </w:rPr>
        <w:t>pkt</w:t>
      </w:r>
      <w:proofErr w:type="spellEnd"/>
      <w:r w:rsidRPr="00E62F12">
        <w:rPr>
          <w:rFonts w:asciiTheme="minorHAnsi" w:hAnsiTheme="minorHAnsi"/>
          <w:sz w:val="20"/>
          <w:szCs w:val="20"/>
        </w:rPr>
        <w:t xml:space="preserve"> 1 ustawy o ofercie – informacje poufne</w:t>
      </w:r>
    </w:p>
    <w:p w:rsidR="0003500B" w:rsidRDefault="0003500B"/>
    <w:sectPr w:rsidR="0003500B" w:rsidSect="000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62F12"/>
    <w:rsid w:val="0003500B"/>
    <w:rsid w:val="001C38F9"/>
    <w:rsid w:val="00234A11"/>
    <w:rsid w:val="00425F66"/>
    <w:rsid w:val="004E2345"/>
    <w:rsid w:val="004E3D65"/>
    <w:rsid w:val="00664D80"/>
    <w:rsid w:val="0078395F"/>
    <w:rsid w:val="00831FD1"/>
    <w:rsid w:val="00B0665C"/>
    <w:rsid w:val="00B22271"/>
    <w:rsid w:val="00B3204E"/>
    <w:rsid w:val="00BD0AD1"/>
    <w:rsid w:val="00CB08D6"/>
    <w:rsid w:val="00E44045"/>
    <w:rsid w:val="00E56DF5"/>
    <w:rsid w:val="00E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F1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2F1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F1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62F1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2F1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2F12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2F12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2F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E62F12"/>
  </w:style>
  <w:style w:type="character" w:customStyle="1" w:styleId="apple-converted-space">
    <w:name w:val="apple-converted-space"/>
    <w:basedOn w:val="Domylnaczcionkaakapitu"/>
    <w:rsid w:val="00E6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Katarzyna Dłużeń</cp:lastModifiedBy>
  <cp:revision>6</cp:revision>
  <cp:lastPrinted>2015-07-13T12:44:00Z</cp:lastPrinted>
  <dcterms:created xsi:type="dcterms:W3CDTF">2015-07-13T12:51:00Z</dcterms:created>
  <dcterms:modified xsi:type="dcterms:W3CDTF">2015-07-13T14:34:00Z</dcterms:modified>
</cp:coreProperties>
</file>