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0B" w:rsidRPr="006D700B" w:rsidRDefault="006D700B" w:rsidP="006D700B">
      <w:pPr>
        <w:jc w:val="right"/>
        <w:rPr>
          <w:rFonts w:ascii="Calibri" w:hAnsi="Calibri" w:cs="Arial"/>
          <w:sz w:val="20"/>
          <w:szCs w:val="20"/>
        </w:rPr>
      </w:pPr>
      <w:r w:rsidRPr="006D700B">
        <w:rPr>
          <w:rFonts w:ascii="Calibri" w:hAnsi="Calibri" w:cs="Arial"/>
          <w:sz w:val="20"/>
          <w:szCs w:val="20"/>
        </w:rPr>
        <w:t>Ropczyce, 10.02.2015</w:t>
      </w:r>
    </w:p>
    <w:p w:rsidR="006D700B" w:rsidRPr="006D700B" w:rsidRDefault="006D700B" w:rsidP="006D700B">
      <w:pPr>
        <w:rPr>
          <w:rFonts w:ascii="Calibri" w:hAnsi="Calibri" w:cs="Arial"/>
          <w:sz w:val="20"/>
          <w:szCs w:val="20"/>
        </w:rPr>
      </w:pPr>
    </w:p>
    <w:p w:rsidR="006D700B" w:rsidRPr="006D700B" w:rsidRDefault="006D700B" w:rsidP="006D700B">
      <w:pPr>
        <w:jc w:val="both"/>
        <w:rPr>
          <w:rFonts w:ascii="Calibri" w:hAnsi="Calibri" w:cs="Arial"/>
          <w:b/>
          <w:sz w:val="20"/>
          <w:szCs w:val="20"/>
        </w:rPr>
      </w:pPr>
      <w:r w:rsidRPr="006D700B">
        <w:rPr>
          <w:rFonts w:ascii="Calibri" w:hAnsi="Calibri" w:cs="Arial"/>
          <w:b/>
          <w:sz w:val="20"/>
          <w:szCs w:val="20"/>
        </w:rPr>
        <w:t>Temat:</w:t>
      </w:r>
    </w:p>
    <w:p w:rsidR="006D700B" w:rsidRPr="006D700B" w:rsidRDefault="006D700B" w:rsidP="006D700B">
      <w:pPr>
        <w:pStyle w:val="Nagwek1"/>
        <w:jc w:val="both"/>
        <w:rPr>
          <w:rFonts w:ascii="Calibri" w:hAnsi="Calibri" w:cs="Arial"/>
          <w:sz w:val="20"/>
          <w:szCs w:val="20"/>
        </w:rPr>
      </w:pPr>
      <w:r w:rsidRPr="006D700B">
        <w:rPr>
          <w:rFonts w:ascii="Calibri" w:hAnsi="Calibri" w:cs="Arial"/>
          <w:bCs/>
          <w:sz w:val="20"/>
          <w:szCs w:val="20"/>
        </w:rPr>
        <w:t>P</w:t>
      </w:r>
      <w:r w:rsidRPr="006D700B">
        <w:rPr>
          <w:rFonts w:ascii="Calibri" w:hAnsi="Calibri" w:cs="Arial"/>
          <w:bCs/>
          <w:sz w:val="20"/>
          <w:szCs w:val="20"/>
        </w:rPr>
        <w:t>olityka dywidendy</w:t>
      </w:r>
      <w:r w:rsidRPr="006D700B">
        <w:rPr>
          <w:rFonts w:ascii="Calibri" w:hAnsi="Calibri" w:cs="Arial"/>
          <w:bCs/>
          <w:sz w:val="20"/>
          <w:szCs w:val="20"/>
        </w:rPr>
        <w:t>.</w:t>
      </w:r>
    </w:p>
    <w:p w:rsidR="006D700B" w:rsidRPr="006D700B" w:rsidRDefault="006D700B" w:rsidP="006D700B">
      <w:pPr>
        <w:pStyle w:val="Nagwek1"/>
        <w:rPr>
          <w:rFonts w:ascii="Calibri" w:hAnsi="Calibri" w:cs="Arial"/>
          <w:b/>
          <w:bCs/>
          <w:sz w:val="20"/>
          <w:szCs w:val="20"/>
        </w:rPr>
      </w:pPr>
    </w:p>
    <w:p w:rsidR="006D700B" w:rsidRPr="006D700B" w:rsidRDefault="006D700B" w:rsidP="006D700B">
      <w:pPr>
        <w:pStyle w:val="Nagwek1"/>
        <w:rPr>
          <w:rFonts w:ascii="Calibri" w:hAnsi="Calibri" w:cs="Arial"/>
          <w:b/>
          <w:bCs/>
          <w:sz w:val="20"/>
          <w:szCs w:val="20"/>
        </w:rPr>
      </w:pPr>
    </w:p>
    <w:p w:rsidR="006D700B" w:rsidRPr="006D700B" w:rsidRDefault="006D700B" w:rsidP="006D700B">
      <w:pPr>
        <w:pStyle w:val="Nagwek1"/>
        <w:rPr>
          <w:rFonts w:ascii="Calibri" w:hAnsi="Calibri" w:cs="Arial"/>
          <w:b/>
          <w:bCs/>
          <w:sz w:val="20"/>
          <w:szCs w:val="20"/>
        </w:rPr>
      </w:pPr>
      <w:r w:rsidRPr="006D700B">
        <w:rPr>
          <w:rFonts w:ascii="Calibri" w:hAnsi="Calibri" w:cs="Arial"/>
          <w:b/>
          <w:bCs/>
          <w:sz w:val="20"/>
          <w:szCs w:val="20"/>
        </w:rPr>
        <w:t xml:space="preserve">Raport bieżący nr 04/2015    </w:t>
      </w:r>
    </w:p>
    <w:p w:rsidR="006D700B" w:rsidRPr="006D700B" w:rsidRDefault="006D700B" w:rsidP="006D700B">
      <w:pPr>
        <w:jc w:val="both"/>
        <w:rPr>
          <w:rFonts w:ascii="Calibri" w:hAnsi="Calibri" w:cs="Arial"/>
          <w:b/>
          <w:bCs/>
          <w:color w:val="3366FF"/>
          <w:sz w:val="20"/>
          <w:szCs w:val="20"/>
        </w:rPr>
      </w:pPr>
    </w:p>
    <w:p w:rsidR="006D700B" w:rsidRPr="006D700B" w:rsidRDefault="006D700B" w:rsidP="006D700B">
      <w:pPr>
        <w:pStyle w:val="Tekstpodstawowy"/>
        <w:jc w:val="both"/>
        <w:rPr>
          <w:rFonts w:ascii="Calibri" w:hAnsi="Calibri"/>
          <w:szCs w:val="20"/>
        </w:rPr>
      </w:pPr>
    </w:p>
    <w:p w:rsidR="006D700B" w:rsidRPr="006D700B" w:rsidRDefault="006D700B" w:rsidP="006D700B">
      <w:pPr>
        <w:pStyle w:val="Tekstpodstawowy"/>
        <w:jc w:val="both"/>
        <w:rPr>
          <w:rStyle w:val="dane"/>
          <w:rFonts w:ascii="Calibri" w:hAnsi="Calibri"/>
        </w:rPr>
      </w:pPr>
    </w:p>
    <w:p w:rsidR="006D700B" w:rsidRPr="006D700B" w:rsidRDefault="006D700B" w:rsidP="006D700B">
      <w:pPr>
        <w:rPr>
          <w:rFonts w:ascii="Calibri" w:hAnsi="Calibri"/>
          <w:sz w:val="20"/>
          <w:szCs w:val="20"/>
        </w:rPr>
      </w:pPr>
      <w:r w:rsidRPr="006D700B">
        <w:rPr>
          <w:rFonts w:ascii="Calibri" w:hAnsi="Calibri"/>
          <w:sz w:val="20"/>
          <w:szCs w:val="20"/>
        </w:rPr>
        <w:t xml:space="preserve">Zarząd Zakładów Magnezytowych „ROPCZYCE” S.A. informuje, że w dniu 10 lutego 2015 roku podjął uchwałę </w:t>
      </w:r>
      <w:r w:rsidRPr="006D700B">
        <w:rPr>
          <w:rFonts w:ascii="Calibri" w:hAnsi="Calibri"/>
          <w:sz w:val="20"/>
          <w:szCs w:val="20"/>
        </w:rPr>
        <w:br/>
      </w:r>
      <w:r w:rsidRPr="006D700B">
        <w:rPr>
          <w:rFonts w:ascii="Calibri" w:hAnsi="Calibri"/>
          <w:sz w:val="20"/>
          <w:szCs w:val="20"/>
        </w:rPr>
        <w:t>w sprawie przyjęcia Polityki Dywidendy ZM „ROPCZYCE” S.A. w niżej przedstawionej treści.</w:t>
      </w:r>
    </w:p>
    <w:p w:rsidR="006D700B" w:rsidRPr="006D700B" w:rsidRDefault="006D700B" w:rsidP="006D700B">
      <w:pPr>
        <w:rPr>
          <w:rFonts w:ascii="Calibri" w:hAnsi="Calibri"/>
          <w:sz w:val="20"/>
          <w:szCs w:val="20"/>
        </w:rPr>
      </w:pPr>
    </w:p>
    <w:p w:rsidR="006D700B" w:rsidRPr="006D700B" w:rsidRDefault="006D700B" w:rsidP="006D700B">
      <w:pPr>
        <w:jc w:val="both"/>
        <w:rPr>
          <w:rFonts w:ascii="Calibri" w:hAnsi="Calibri"/>
          <w:sz w:val="20"/>
          <w:szCs w:val="20"/>
        </w:rPr>
      </w:pPr>
      <w:r w:rsidRPr="006D700B">
        <w:rPr>
          <w:rFonts w:ascii="Calibri" w:hAnsi="Calibri"/>
          <w:sz w:val="20"/>
          <w:szCs w:val="20"/>
        </w:rPr>
        <w:t xml:space="preserve">Zarząd Spółki, mając na względzie interes akcjonariuszy, a także potrzeby rozwojowe Spółki, zamierza </w:t>
      </w:r>
      <w:r w:rsidRPr="006D700B">
        <w:rPr>
          <w:rFonts w:ascii="Calibri" w:hAnsi="Calibri"/>
          <w:sz w:val="20"/>
          <w:szCs w:val="20"/>
        </w:rPr>
        <w:br/>
      </w:r>
      <w:r w:rsidRPr="006D700B">
        <w:rPr>
          <w:rFonts w:ascii="Calibri" w:hAnsi="Calibri"/>
          <w:sz w:val="20"/>
          <w:szCs w:val="20"/>
        </w:rPr>
        <w:t>w dłuższej perspektywie rekomendować Walnemu Zgromadzeniu wypłatę dywidendy na poziomie do 50% zysku netto Spółki za dany rok obrotowy.</w:t>
      </w:r>
    </w:p>
    <w:p w:rsidR="006D700B" w:rsidRPr="006D700B" w:rsidRDefault="006D700B" w:rsidP="006D700B">
      <w:pPr>
        <w:jc w:val="both"/>
        <w:rPr>
          <w:rFonts w:ascii="Calibri" w:hAnsi="Calibri"/>
          <w:sz w:val="20"/>
          <w:szCs w:val="20"/>
        </w:rPr>
      </w:pPr>
      <w:r w:rsidRPr="006D700B">
        <w:rPr>
          <w:rFonts w:ascii="Calibri" w:hAnsi="Calibri"/>
          <w:sz w:val="20"/>
          <w:szCs w:val="20"/>
        </w:rPr>
        <w:t xml:space="preserve">Wpływ na rekomendację Zarządu w zakresie wypłaty dywidendy każdorazowo będą miały w szczególności następujące czynniki: wysokość zysku netto w sprawozdaniu finansowym Spółki, aktualny koszt pozyskania finansowania zewnętrznego oraz możliwości rynkowe pozyskania takiego finansowania uwzględniającego potrzeby inwestycyjne Spółki. </w:t>
      </w:r>
    </w:p>
    <w:p w:rsidR="006D700B" w:rsidRPr="006D700B" w:rsidRDefault="006D700B" w:rsidP="006D700B">
      <w:pPr>
        <w:jc w:val="both"/>
        <w:rPr>
          <w:rFonts w:ascii="Calibri" w:hAnsi="Calibri"/>
          <w:sz w:val="20"/>
          <w:szCs w:val="20"/>
        </w:rPr>
      </w:pPr>
      <w:r w:rsidRPr="006D700B">
        <w:rPr>
          <w:rFonts w:ascii="Calibri" w:hAnsi="Calibri"/>
          <w:sz w:val="20"/>
          <w:szCs w:val="20"/>
        </w:rPr>
        <w:t>Rekomendacja Zarządu w sprawie wypłaty dywidendy będzie również uzależniona od udziału finansowania kapitałem obcym w kapitale ogółem Spółki oraz relacji zadłużenia do wartości rocznego EBITDA. Przyjmuje się, że aby dywidenda mogła być rekomendowana, wskaźnik ogólnego zadłużenia liczony, jako relacja kapitału obcego do sumy kapitałów nie może być wyższy niż 0,45 oraz, że relacja zadłużenia do wartości rocznego EBITDA</w:t>
      </w:r>
      <w:r w:rsidRPr="006D700B" w:rsidDel="000A01D4">
        <w:rPr>
          <w:rFonts w:ascii="Calibri" w:hAnsi="Calibri"/>
          <w:sz w:val="20"/>
          <w:szCs w:val="20"/>
        </w:rPr>
        <w:t xml:space="preserve"> </w:t>
      </w:r>
      <w:r w:rsidRPr="006D700B">
        <w:rPr>
          <w:rFonts w:ascii="Calibri" w:hAnsi="Calibri"/>
          <w:sz w:val="20"/>
          <w:szCs w:val="20"/>
        </w:rPr>
        <w:t xml:space="preserve">nie może być wyższa niż 3,5. Zarząd może rekomendować Walnemu Zgromadzeniu realizację </w:t>
      </w:r>
      <w:r w:rsidRPr="006D700B">
        <w:rPr>
          <w:rFonts w:ascii="Calibri" w:hAnsi="Calibri"/>
          <w:i/>
          <w:sz w:val="20"/>
          <w:szCs w:val="20"/>
        </w:rPr>
        <w:t xml:space="preserve">buy </w:t>
      </w:r>
      <w:proofErr w:type="spellStart"/>
      <w:r w:rsidRPr="006D700B">
        <w:rPr>
          <w:rFonts w:ascii="Calibri" w:hAnsi="Calibri"/>
          <w:i/>
          <w:sz w:val="20"/>
          <w:szCs w:val="20"/>
        </w:rPr>
        <w:t>back’u</w:t>
      </w:r>
      <w:proofErr w:type="spellEnd"/>
      <w:r w:rsidRPr="006D700B">
        <w:rPr>
          <w:rFonts w:ascii="Calibri" w:hAnsi="Calibri"/>
          <w:sz w:val="20"/>
          <w:szCs w:val="20"/>
        </w:rPr>
        <w:t xml:space="preserve"> w przypadku niskiej wyceny akcji Spółki na GPW, tj. w przypadku osiągnięcia przez wskaźnik P/E poziomu niższego niż 10.   </w:t>
      </w:r>
    </w:p>
    <w:p w:rsidR="006D700B" w:rsidRPr="006D700B" w:rsidRDefault="006D700B" w:rsidP="006D700B">
      <w:pPr>
        <w:jc w:val="both"/>
        <w:rPr>
          <w:rFonts w:ascii="Calibri" w:hAnsi="Calibri"/>
          <w:sz w:val="20"/>
          <w:szCs w:val="20"/>
        </w:rPr>
      </w:pPr>
      <w:r w:rsidRPr="006D700B">
        <w:rPr>
          <w:rFonts w:ascii="Calibri" w:hAnsi="Calibri"/>
          <w:sz w:val="20"/>
          <w:szCs w:val="20"/>
        </w:rPr>
        <w:t>Polityka w zakresie wypłaty dywidendy podlegała będzie okresowym przeglądom Zarządu, a decyzję o wypłacie dywidendy będzie podejmowało Walne Zgromadzenie Akcjonariuszy.</w:t>
      </w:r>
    </w:p>
    <w:p w:rsidR="006D700B" w:rsidRPr="006D700B" w:rsidRDefault="006D700B" w:rsidP="006D700B">
      <w:pPr>
        <w:jc w:val="both"/>
        <w:rPr>
          <w:rFonts w:ascii="Calibri" w:hAnsi="Calibri"/>
          <w:sz w:val="20"/>
          <w:szCs w:val="20"/>
        </w:rPr>
      </w:pPr>
    </w:p>
    <w:p w:rsidR="006D700B" w:rsidRDefault="006D700B" w:rsidP="006D700B">
      <w:pPr>
        <w:jc w:val="both"/>
        <w:rPr>
          <w:rFonts w:ascii="Calibri" w:hAnsi="Calibri"/>
          <w:sz w:val="20"/>
          <w:szCs w:val="20"/>
        </w:rPr>
      </w:pPr>
    </w:p>
    <w:p w:rsidR="006D700B" w:rsidRPr="006D700B" w:rsidRDefault="006D700B" w:rsidP="006D700B">
      <w:pPr>
        <w:jc w:val="both"/>
        <w:rPr>
          <w:rFonts w:ascii="Calibri" w:hAnsi="Calibri"/>
          <w:sz w:val="20"/>
          <w:szCs w:val="20"/>
        </w:rPr>
      </w:pPr>
    </w:p>
    <w:p w:rsidR="006D700B" w:rsidRDefault="006D700B" w:rsidP="006D700B">
      <w:pPr>
        <w:jc w:val="both"/>
        <w:rPr>
          <w:rFonts w:ascii="Calibri" w:hAnsi="Calibri"/>
          <w:b/>
          <w:sz w:val="20"/>
          <w:szCs w:val="20"/>
        </w:rPr>
      </w:pPr>
      <w:r w:rsidRPr="006D700B">
        <w:rPr>
          <w:rFonts w:ascii="Calibri" w:hAnsi="Calibri"/>
          <w:b/>
          <w:sz w:val="20"/>
          <w:szCs w:val="20"/>
        </w:rPr>
        <w:t xml:space="preserve">Podstawa prawna: </w:t>
      </w:r>
    </w:p>
    <w:p w:rsidR="006D700B" w:rsidRPr="006D700B" w:rsidRDefault="006D700B" w:rsidP="006D700B">
      <w:pPr>
        <w:jc w:val="both"/>
        <w:rPr>
          <w:rFonts w:ascii="Calibri" w:hAnsi="Calibri"/>
          <w:b/>
          <w:sz w:val="20"/>
          <w:szCs w:val="20"/>
        </w:rPr>
      </w:pPr>
    </w:p>
    <w:p w:rsidR="006D700B" w:rsidRPr="006D700B" w:rsidRDefault="006D700B" w:rsidP="006D700B">
      <w:pPr>
        <w:jc w:val="both"/>
        <w:rPr>
          <w:rFonts w:ascii="Calibri" w:hAnsi="Calibri"/>
          <w:sz w:val="20"/>
          <w:szCs w:val="20"/>
        </w:rPr>
      </w:pPr>
      <w:r w:rsidRPr="006D700B">
        <w:rPr>
          <w:rFonts w:ascii="Calibri" w:hAnsi="Calibri"/>
          <w:sz w:val="20"/>
          <w:szCs w:val="20"/>
        </w:rPr>
        <w:t xml:space="preserve">art. 56 ust. 1 </w:t>
      </w:r>
      <w:proofErr w:type="spellStart"/>
      <w:r w:rsidRPr="006D700B">
        <w:rPr>
          <w:rFonts w:ascii="Calibri" w:hAnsi="Calibri"/>
          <w:sz w:val="20"/>
          <w:szCs w:val="20"/>
        </w:rPr>
        <w:t>pkt</w:t>
      </w:r>
      <w:proofErr w:type="spellEnd"/>
      <w:r w:rsidRPr="006D700B">
        <w:rPr>
          <w:rFonts w:ascii="Calibri" w:hAnsi="Calibri"/>
          <w:sz w:val="20"/>
          <w:szCs w:val="20"/>
        </w:rPr>
        <w:t xml:space="preserve"> 1 Ustawy z dnia 29 lipca 2005 r. o ofercie publicznej i warunkach wprowadzania instrumentów finansowych do zorganizowanego systemu obrotu oraz o spółkach publicznych.</w:t>
      </w:r>
    </w:p>
    <w:p w:rsidR="006D700B" w:rsidRDefault="006D700B" w:rsidP="006D700B">
      <w:pPr>
        <w:pStyle w:val="Tekstpodstawowy"/>
        <w:jc w:val="both"/>
      </w:pPr>
      <w:r w:rsidRPr="004C12B1">
        <w:rPr>
          <w:rFonts w:ascii="Cambria" w:hAnsi="Cambria"/>
        </w:rPr>
        <w:br/>
      </w:r>
    </w:p>
    <w:p w:rsidR="006D700B" w:rsidRDefault="006D700B" w:rsidP="006D700B">
      <w:pPr>
        <w:pStyle w:val="Tekstpodstawowy3"/>
        <w:rPr>
          <w:rFonts w:ascii="Calibri" w:hAnsi="Calibri" w:cs="Arial"/>
          <w:sz w:val="20"/>
          <w:szCs w:val="20"/>
        </w:rPr>
      </w:pPr>
    </w:p>
    <w:p w:rsidR="006D700B" w:rsidRDefault="006D700B" w:rsidP="006D700B"/>
    <w:p w:rsidR="00D056B7" w:rsidRDefault="00D056B7"/>
    <w:sectPr w:rsidR="00D056B7" w:rsidSect="00035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D700B"/>
    <w:rsid w:val="006D700B"/>
    <w:rsid w:val="00D056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0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700B"/>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700B"/>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unhideWhenUsed/>
    <w:rsid w:val="006D700B"/>
    <w:rPr>
      <w:rFonts w:ascii="Arial" w:hAnsi="Arial" w:cs="Arial"/>
      <w:sz w:val="20"/>
    </w:rPr>
  </w:style>
  <w:style w:type="character" w:customStyle="1" w:styleId="TekstpodstawowyZnak">
    <w:name w:val="Tekst podstawowy Znak"/>
    <w:basedOn w:val="Domylnaczcionkaakapitu"/>
    <w:link w:val="Tekstpodstawowy"/>
    <w:semiHidden/>
    <w:rsid w:val="006D700B"/>
    <w:rPr>
      <w:rFonts w:ascii="Arial" w:eastAsia="Times New Roman" w:hAnsi="Arial" w:cs="Arial"/>
      <w:sz w:val="20"/>
      <w:szCs w:val="24"/>
      <w:lang w:eastAsia="pl-PL"/>
    </w:rPr>
  </w:style>
  <w:style w:type="paragraph" w:styleId="Tekstpodstawowy3">
    <w:name w:val="Body Text 3"/>
    <w:basedOn w:val="Normalny"/>
    <w:link w:val="Tekstpodstawowy3Znak"/>
    <w:semiHidden/>
    <w:unhideWhenUsed/>
    <w:rsid w:val="006D700B"/>
    <w:pPr>
      <w:jc w:val="both"/>
    </w:pPr>
    <w:rPr>
      <w:color w:val="000000"/>
    </w:rPr>
  </w:style>
  <w:style w:type="character" w:customStyle="1" w:styleId="Tekstpodstawowy3Znak">
    <w:name w:val="Tekst podstawowy 3 Znak"/>
    <w:basedOn w:val="Domylnaczcionkaakapitu"/>
    <w:link w:val="Tekstpodstawowy3"/>
    <w:semiHidden/>
    <w:rsid w:val="006D700B"/>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6D700B"/>
  </w:style>
  <w:style w:type="character" w:customStyle="1" w:styleId="apple-converted-space">
    <w:name w:val="apple-converted-space"/>
    <w:basedOn w:val="Domylnaczcionkaakapitu"/>
    <w:rsid w:val="006D700B"/>
  </w:style>
  <w:style w:type="character" w:customStyle="1" w:styleId="annotationreference">
    <w:name w:val="annotation reference"/>
    <w:rsid w:val="006D700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1602</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kdluzen</dc:creator>
  <cp:lastModifiedBy>kdluzen</cp:lastModifiedBy>
  <cp:revision>1</cp:revision>
  <dcterms:created xsi:type="dcterms:W3CDTF">2015-02-10T10:36:00Z</dcterms:created>
  <dcterms:modified xsi:type="dcterms:W3CDTF">2015-02-10T10:44:00Z</dcterms:modified>
</cp:coreProperties>
</file>